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keepNext w:val="0"/>
        <w:keepLines w:val="0"/>
        <w:pageBreakBefore w:val="0"/>
        <w:widowControl/>
        <w:kinsoku/>
        <w:wordWrap/>
        <w:overflowPunct/>
        <w:topLinePunct w:val="0"/>
        <w:autoSpaceDE/>
        <w:autoSpaceDN/>
        <w:bidi w:val="0"/>
        <w:adjustRightInd/>
        <w:snapToGrid/>
        <w:spacing w:after="137" w:afterLines="50"/>
        <w:textAlignment w:val="auto"/>
        <w:rPr>
          <w:rFonts w:hint="default" w:eastAsia="宋体"/>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25</w:t>
      </w:r>
      <w:r>
        <w:tab/>
      </w:r>
      <w:r>
        <w:t>R</w:t>
      </w:r>
      <w:r>
        <w:rPr>
          <w:rFonts w:hint="eastAsia" w:eastAsia="宋体"/>
          <w:lang w:val="en-US" w:eastAsia="zh-CN"/>
        </w:rPr>
        <w:t>2</w:t>
      </w:r>
      <w:r>
        <w:t>-</w:t>
      </w:r>
      <w:r>
        <w:rPr>
          <w:rFonts w:hint="eastAsia" w:eastAsia="宋体"/>
          <w:lang w:val="en-US" w:eastAsia="zh-CN"/>
        </w:rPr>
        <w:t>2400541</w:t>
      </w:r>
    </w:p>
    <w:p>
      <w:pPr>
        <w:keepNext w:val="0"/>
        <w:keepLines w:val="0"/>
        <w:pageBreakBefore w:val="0"/>
        <w:widowControl/>
        <w:suppressLineNumbers w:val="0"/>
        <w:kinsoku/>
        <w:wordWrap/>
        <w:overflowPunct/>
        <w:topLinePunct w:val="0"/>
        <w:autoSpaceDE/>
        <w:autoSpaceDN/>
        <w:bidi w:val="0"/>
        <w:adjustRightInd/>
        <w:snapToGrid/>
        <w:spacing w:after="137" w:afterLines="50"/>
        <w:jc w:val="left"/>
        <w:textAlignment w:val="auto"/>
        <w:rPr>
          <w:rFonts w:cs="Arial"/>
          <w:sz w:val="22"/>
        </w:rPr>
      </w:pPr>
      <w:r>
        <w:rPr>
          <w:rFonts w:hint="eastAsia" w:ascii="Arial" w:hAnsi="Arial" w:cs="Arial"/>
          <w:b/>
          <w:bCs/>
          <w:kern w:val="0"/>
          <w:sz w:val="24"/>
          <w:lang w:val="en-US" w:eastAsia="zh-CN"/>
        </w:rPr>
        <w:t>Athens, Greece,  Feb. 26th – Mar. 1st, 2024</w:t>
      </w:r>
    </w:p>
    <w:p>
      <w:pPr>
        <w:pStyle w:val="40"/>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eastAsia"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7</w:t>
      </w:r>
      <w:r>
        <w:rPr>
          <w:rFonts w:ascii="Arial" w:hAnsi="Arial" w:cs="Arial"/>
          <w:sz w:val="22"/>
        </w:rPr>
        <w:t>.</w:t>
      </w:r>
      <w:r>
        <w:rPr>
          <w:rFonts w:hint="eastAsia" w:eastAsia="宋体" w:cs="Arial"/>
          <w:sz w:val="22"/>
          <w:lang w:val="en-US" w:eastAsia="zh-CN"/>
        </w:rPr>
        <w:t>14</w:t>
      </w:r>
      <w:r>
        <w:rPr>
          <w:rFonts w:ascii="Arial" w:hAnsi="Arial" w:cs="Arial"/>
          <w:sz w:val="22"/>
        </w:rPr>
        <w:t>.</w:t>
      </w:r>
      <w:r>
        <w:rPr>
          <w:rFonts w:hint="eastAsia" w:eastAsia="宋体" w:cs="Arial"/>
          <w:sz w:val="22"/>
          <w:lang w:val="en-US" w:eastAsia="zh-CN"/>
        </w:rPr>
        <w:t>4</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rFonts w:hint="default" w:eastAsia="宋体" w:cs="Arial"/>
          <w:sz w:val="22"/>
          <w:lang w:val="en-US" w:eastAsia="zh-CN"/>
        </w:rPr>
      </w:pPr>
      <w:r>
        <w:rPr>
          <w:rFonts w:cs="Arial"/>
          <w:sz w:val="22"/>
        </w:rPr>
        <w:t>Title:</w:t>
      </w:r>
      <w:r>
        <w:rPr>
          <w:rFonts w:cs="Arial"/>
          <w:sz w:val="22"/>
        </w:rPr>
        <w:tab/>
      </w:r>
      <w:r>
        <w:rPr>
          <w:rFonts w:hint="eastAsia" w:eastAsia="宋体"/>
          <w:sz w:val="22"/>
          <w:lang w:val="en-US" w:eastAsia="zh-CN"/>
        </w:rPr>
        <w:t>Discussion on inter-RAT QoE continuity and UE capabilities</w:t>
      </w:r>
    </w:p>
    <w:p>
      <w:pPr>
        <w:pStyle w:val="40"/>
        <w:keepNext w:val="0"/>
        <w:keepLines w:val="0"/>
        <w:pageBreakBefore w:val="0"/>
        <w:widowControl/>
        <w:kinsoku/>
        <w:wordWrap/>
        <w:overflowPunct/>
        <w:topLinePunct w:val="0"/>
        <w:autoSpaceDE/>
        <w:autoSpaceDN/>
        <w:bidi w:val="0"/>
        <w:adjustRightInd/>
        <w:snapToGrid/>
        <w:spacing w:after="137" w:afterLines="50" w:line="300" w:lineRule="auto"/>
        <w:textAlignment w:val="auto"/>
        <w:rPr>
          <w:color w:val="FF0000"/>
          <w:sz w:val="22"/>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24</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US" w:eastAsia="zh-CN"/>
        </w:rPr>
        <w:t>of UE capabilities</w:t>
      </w:r>
      <w:r>
        <w:rPr>
          <w:rFonts w:hint="eastAsia" w:eastAsia="宋体"/>
          <w:lang w:val="en-US" w:eastAsia="zh-CN"/>
        </w:rPr>
        <w:t xml:space="preserve"> </w:t>
      </w:r>
      <w:r>
        <w:rPr>
          <w:rFonts w:hint="eastAsia"/>
          <w:lang w:val="en-GB"/>
        </w:rPr>
        <w:t>have been achieved:</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pStyle w:val="66"/>
              <w:tabs>
                <w:tab w:val="left" w:pos="1636"/>
                <w:tab w:val="clear" w:pos="1619"/>
              </w:tabs>
              <w:rPr>
                <w:rFonts w:hint="eastAsia"/>
                <w:b w:val="0"/>
                <w:bCs/>
                <w:i/>
                <w:iCs/>
              </w:rPr>
            </w:pPr>
            <w:r>
              <w:rPr>
                <w:rFonts w:hint="eastAsia"/>
                <w:b w:val="0"/>
                <w:bCs/>
                <w:i/>
                <w:iCs/>
              </w:rPr>
              <w:t>For HO from LTE/5GC to NR, UE should release all LTE QoE configurations and apply NR QoE configuration if received. How UE releases old QoE configurations can be handled in CR phase.</w:t>
            </w:r>
          </w:p>
          <w:p>
            <w:pPr>
              <w:pStyle w:val="66"/>
              <w:tabs>
                <w:tab w:val="left" w:pos="1636"/>
                <w:tab w:val="clear" w:pos="1619"/>
              </w:tabs>
              <w:rPr>
                <w:rFonts w:hint="eastAsia"/>
                <w:b w:val="0"/>
                <w:bCs/>
                <w:i/>
                <w:iCs/>
              </w:rPr>
            </w:pPr>
            <w:r>
              <w:rPr>
                <w:rFonts w:hint="eastAsia"/>
                <w:b w:val="0"/>
                <w:bCs/>
                <w:i/>
                <w:iCs/>
              </w:rPr>
              <w:t>For HO from NR to LTE/5GC, UE should release all NR QoE configurations and apply LTE QoE configuration if received. How UE releases old QoE configurations can be handled in CR phase.</w:t>
            </w:r>
          </w:p>
          <w:p>
            <w:pPr>
              <w:pStyle w:val="66"/>
              <w:tabs>
                <w:tab w:val="left" w:pos="1636"/>
                <w:tab w:val="clear" w:pos="1619"/>
              </w:tabs>
              <w:rPr>
                <w:b w:val="0"/>
                <w:bCs/>
                <w:i/>
                <w:iCs/>
              </w:rPr>
            </w:pPr>
            <w:r>
              <w:rPr>
                <w:rFonts w:hint="eastAsia"/>
                <w:b w:val="0"/>
                <w:bCs/>
                <w:i/>
                <w:iCs/>
              </w:rPr>
              <w:t>With summary proposal 1 &amp; 2, no extra impacts to CT1 are needed</w:t>
            </w:r>
          </w:p>
          <w:p>
            <w:pPr>
              <w:pStyle w:val="66"/>
              <w:tabs>
                <w:tab w:val="left" w:pos="1636"/>
                <w:tab w:val="clear" w:pos="1619"/>
              </w:tabs>
              <w:rPr>
                <w:rFonts w:hint="eastAsia"/>
                <w:b w:val="0"/>
                <w:bCs/>
                <w:i/>
                <w:iCs/>
              </w:rPr>
            </w:pPr>
            <w:r>
              <w:rPr>
                <w:rFonts w:hint="eastAsia"/>
                <w:b w:val="0"/>
                <w:bCs/>
                <w:i/>
                <w:iCs/>
              </w:rPr>
              <w:t>Priority-based QoE report discarding is an optional UE capability with UE capability signaling. It applies to both reports stored in IDLE/INACTIVE and in RRC CONNECTED during QoE pause.</w:t>
            </w:r>
          </w:p>
          <w:p>
            <w:pPr>
              <w:pStyle w:val="66"/>
              <w:tabs>
                <w:tab w:val="left" w:pos="1636"/>
                <w:tab w:val="clear" w:pos="1619"/>
              </w:tabs>
              <w:rPr>
                <w:rFonts w:eastAsia="宋体"/>
                <w:bCs/>
                <w:i/>
                <w:sz w:val="20"/>
                <w:szCs w:val="20"/>
              </w:rPr>
            </w:pPr>
            <w:r>
              <w:rPr>
                <w:rFonts w:hint="eastAsia"/>
                <w:b w:val="0"/>
                <w:bCs/>
                <w:i/>
                <w:iCs/>
              </w:rPr>
              <w:t xml:space="preserve">Reuse the segmentation capability from Rel-17 QoE also for segmentation over SRB5. </w:t>
            </w:r>
          </w:p>
        </w:tc>
      </w:tr>
    </w:tbl>
    <w:p>
      <w:pPr>
        <w:spacing w:before="0" w:beforeLines="-2147483648" w:after="0"/>
        <w:jc w:val="both"/>
        <w:textAlignment w:val="auto"/>
      </w:pPr>
      <w:r>
        <w:t xml:space="preserve">In this contribution, we will firstly </w:t>
      </w:r>
      <w:r>
        <w:rPr>
          <w:rFonts w:hint="eastAsia"/>
          <w:lang w:val="en-US" w:eastAsia="zh-CN"/>
        </w:rPr>
        <w:t>focus on the</w:t>
      </w:r>
      <w:r>
        <w:t xml:space="preserve"> discuss</w:t>
      </w:r>
      <w:r>
        <w:rPr>
          <w:rFonts w:hint="eastAsia"/>
          <w:lang w:val="en-US" w:eastAsia="zh-CN"/>
        </w:rPr>
        <w:t xml:space="preserve">ion of identified remaining issues on UE memory size requirements, mobility and QoE continuity during inter-RAT HO,  and give the corresponding proposals. </w:t>
      </w:r>
    </w:p>
    <w:p>
      <w:pPr>
        <w:pStyle w:val="3"/>
        <w:rPr>
          <w:rFonts w:cs="Arial"/>
          <w:b/>
          <w:lang w:val="en-US"/>
        </w:rPr>
      </w:pPr>
      <w:r>
        <w:rPr>
          <w:rFonts w:cs="Arial"/>
          <w:b/>
          <w:bCs/>
          <w:lang w:val="en-US"/>
        </w:rPr>
        <w:t xml:space="preserve">Discussion </w:t>
      </w:r>
    </w:p>
    <w:p>
      <w:pPr>
        <w:spacing w:before="0" w:after="0" w:line="240" w:lineRule="auto"/>
        <w:jc w:val="left"/>
        <w:outlineLvl w:val="2"/>
        <w:rPr>
          <w:rFonts w:hint="default"/>
          <w:b/>
          <w:bCs/>
          <w:highlight w:val="none"/>
          <w:u w:val="single"/>
          <w:lang w:eastAsia="zh-CN"/>
        </w:rPr>
      </w:pPr>
      <w:bookmarkStart w:id="1" w:name="OLE_LINK2"/>
      <w:r>
        <w:rPr>
          <w:rFonts w:hint="default" w:ascii="Times New Roman" w:hAnsi="Times New Roman" w:eastAsiaTheme="minorEastAsia" w:cstheme="minorBidi"/>
          <w:b/>
          <w:bCs/>
          <w:i w:val="0"/>
          <w:iCs w:val="0"/>
          <w:sz w:val="22"/>
          <w:szCs w:val="22"/>
          <w:u w:val="single"/>
        </w:rPr>
        <w:t>UE memory size requirements</w:t>
      </w:r>
    </w:p>
    <w:p>
      <w:pPr>
        <w:spacing w:after="0"/>
        <w:rPr>
          <w:rFonts w:hint="default"/>
          <w:lang w:val="en-US"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w:t>
      </w:r>
      <w:r>
        <w:rPr>
          <w:rFonts w:hint="eastAsia" w:cs="Times New Roman"/>
          <w:bCs/>
          <w:lang w:val="en-US" w:eastAsia="zh-CN"/>
        </w:rPr>
        <w:t xml:space="preserve">agreed that </w:t>
      </w:r>
      <w:r>
        <w:rPr>
          <w:rFonts w:hint="eastAsia" w:cs="Times New Roman"/>
          <w:lang w:val="en-US" w:eastAsia="zh-CN"/>
        </w:rPr>
        <w:t xml:space="preserve">minimum memory requirement for IDLE/INACTIVE reports is 64KB in non-RedCap UE. And this memory is in addition to 64KB used for QoE report storage during pause. Another </w:t>
      </w:r>
      <w:r>
        <w:rPr>
          <w:lang w:eastAsia="zh-CN"/>
        </w:rPr>
        <w:t>remaining</w:t>
      </w:r>
      <w:r>
        <w:rPr>
          <w:rFonts w:hint="eastAsia"/>
          <w:lang w:val="en-US" w:eastAsia="zh-CN"/>
        </w:rPr>
        <w:t xml:space="preserve"> </w:t>
      </w:r>
      <w:r>
        <w:rPr>
          <w:rFonts w:hint="eastAsia" w:cs="Times New Roman"/>
          <w:lang w:val="en-US" w:eastAsia="zh-CN"/>
        </w:rPr>
        <w:t xml:space="preserve">issue is FFS about RedCap/eRedCap UE, the minimum requirement is 64 KB total for both IDLE/INACTIVE and paused reports. </w:t>
      </w:r>
      <w:r>
        <w:rPr>
          <w:rFonts w:hint="eastAsia"/>
          <w:lang w:val="en-US" w:eastAsia="zh-CN"/>
        </w:rPr>
        <w:t>In our opinion</w:t>
      </w:r>
      <w:r>
        <w:rPr>
          <w:lang w:val="en-GB" w:eastAsia="zh-CN"/>
        </w:rPr>
        <w:t>,</w:t>
      </w:r>
      <w:r>
        <w:rPr>
          <w:rFonts w:hint="eastAsia"/>
          <w:lang w:val="en-US" w:eastAsia="zh-CN"/>
        </w:rPr>
        <w:t xml:space="preserve"> it is obvious that additional requirement on UE memory size will lead to extra cost in implementation. However, considering that RAN2 does not discuss whether it supports QoE when the UE type is RedCap, we do not introduce RedCap-specific capability for R-18 QoE.</w:t>
      </w:r>
    </w:p>
    <w:p>
      <w:pPr>
        <w:spacing w:after="0"/>
        <w:rPr>
          <w:rFonts w:hint="eastAsia"/>
          <w:b/>
          <w:bCs w:val="0"/>
          <w:highlight w:val="none"/>
          <w:lang w:val="en-US" w:eastAsia="zh-CN"/>
        </w:rPr>
      </w:pPr>
      <w:r>
        <w:rPr>
          <w:rFonts w:hint="eastAsia"/>
          <w:b/>
          <w:bCs w:val="0"/>
          <w:highlight w:val="none"/>
          <w:lang w:val="en-US" w:eastAsia="zh-CN"/>
        </w:rPr>
        <w:t xml:space="preserve">Observation 1: Considering that RAN2 does not actually discuss the details to supports QoE for redCap UE, there is no need to introduce a RedCap-specific QoE capability in R18. </w:t>
      </w:r>
    </w:p>
    <w:p>
      <w:pPr>
        <w:keepNext w:val="0"/>
        <w:keepLines w:val="0"/>
        <w:widowControl/>
        <w:suppressLineNumbers w:val="0"/>
        <w:jc w:val="left"/>
        <w:rPr>
          <w:rFonts w:hint="default"/>
          <w:lang w:val="en-US"/>
        </w:rPr>
      </w:pPr>
      <w:r>
        <w:rPr>
          <w:rFonts w:hint="eastAsia" w:ascii="Times New Roman" w:hAnsi="Times New Roman" w:cs="Times New Roman"/>
          <w:lang w:val="en-US" w:eastAsia="zh-CN"/>
        </w:rPr>
        <w:t xml:space="preserve">However, </w:t>
      </w:r>
      <w:r>
        <w:rPr>
          <w:rFonts w:hint="eastAsia" w:ascii="Times New Roman" w:hAnsi="Times New Roman" w:eastAsia="宋体"/>
          <w:lang w:val="en-US" w:eastAsia="zh-CN"/>
        </w:rPr>
        <w:t>based on the email discussion, the</w:t>
      </w:r>
      <w:r>
        <w:rPr>
          <w:rFonts w:hint="default" w:ascii="Times New Roman" w:hAnsi="Times New Roman" w:eastAsia="宋体"/>
          <w:lang w:val="en-US" w:eastAsia="zh-CN"/>
        </w:rPr>
        <w:t> open issue list of QoE UE capability is provided as follows</w:t>
      </w:r>
      <w:r>
        <w:rPr>
          <w:rFonts w:hint="eastAsia" w:ascii="Times New Roman" w:hAnsi="Times New Roman" w:eastAsia="宋体"/>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spacing w:after="0"/>
              <w:rPr>
                <w:rFonts w:hint="eastAsia" w:ascii="Times New Roman" w:hAnsi="Times New Roman" w:cs="Times New Roman"/>
                <w:b/>
                <w:bCs w:val="0"/>
                <w:lang w:eastAsia="zh-CN"/>
              </w:rPr>
            </w:pPr>
            <w:r>
              <w:rPr>
                <w:rFonts w:hint="default" w:ascii="Times New Roman" w:hAnsi="Times New Roman" w:cs="Times New Roman"/>
                <w:b/>
                <w:bCs w:val="0"/>
                <w:lang w:val="en-US" w:eastAsia="zh-CN"/>
              </w:rPr>
              <w:t>Open Issue 1:</w:t>
            </w:r>
          </w:p>
          <w:p>
            <w:pPr>
              <w:spacing w:after="0"/>
              <w:rPr>
                <w:rFonts w:hint="default" w:ascii="Times New Roman" w:hAnsi="Times New Roman" w:cs="Times New Roman"/>
                <w:bCs/>
                <w:lang w:eastAsia="zh-CN"/>
              </w:rPr>
            </w:pPr>
            <w:r>
              <w:rPr>
                <w:rFonts w:hint="default" w:ascii="Times New Roman" w:hAnsi="Times New Roman" w:cs="Times New Roman"/>
                <w:bCs/>
                <w:lang w:val="en-US" w:eastAsia="zh-CN"/>
              </w:rPr>
              <w:t>    Whether RedCap UE should have the same minimum memory size for QoE in RRC_IDLE/RRC_INACTIVE as non-RedCap UE?</w:t>
            </w:r>
          </w:p>
          <w:p>
            <w:pPr>
              <w:spacing w:after="0"/>
              <w:rPr>
                <w:rFonts w:hint="default" w:ascii="Times New Roman" w:hAnsi="Times New Roman" w:cs="Times New Roman"/>
                <w:b/>
                <w:bCs w:val="0"/>
                <w:lang w:eastAsia="zh-CN"/>
              </w:rPr>
            </w:pPr>
            <w:r>
              <w:rPr>
                <w:rFonts w:hint="default" w:ascii="Times New Roman" w:hAnsi="Times New Roman" w:cs="Times New Roman"/>
                <w:b/>
                <w:bCs w:val="0"/>
                <w:lang w:val="en-US" w:eastAsia="zh-CN"/>
              </w:rPr>
              <w:t>Open Issue 2:</w:t>
            </w:r>
          </w:p>
          <w:p>
            <w:pPr>
              <w:spacing w:after="0"/>
              <w:rPr>
                <w:rFonts w:hint="eastAsia" w:ascii="Times New Roman" w:hAnsi="Times New Roman" w:cs="Times New Roman"/>
                <w:vertAlign w:val="baseline"/>
                <w:lang w:val="en-US" w:eastAsia="zh-CN"/>
              </w:rPr>
            </w:pPr>
            <w:r>
              <w:rPr>
                <w:rFonts w:hint="default" w:ascii="Times New Roman" w:hAnsi="Times New Roman" w:cs="Times New Roman"/>
                <w:bCs/>
                <w:lang w:val="en-US" w:eastAsia="zh-CN"/>
              </w:rPr>
              <w:t>    Whether eRedCap UE shoud have the same minimum memory size for QoE in RRC_IDLE/RRC_INACTIVE as RedCap UE?</w:t>
            </w:r>
          </w:p>
        </w:tc>
      </w:tr>
    </w:tbl>
    <w:p>
      <w:pPr>
        <w:spacing w:after="0"/>
        <w:jc w:val="both"/>
        <w:rPr>
          <w:rFonts w:hint="eastAsia" w:ascii="Times New Roman" w:hAnsi="Times New Roman" w:cs="Times New Roman"/>
          <w:lang w:val="en-US" w:eastAsia="zh-CN"/>
        </w:rPr>
      </w:pPr>
      <w:r>
        <w:rPr>
          <w:rFonts w:hint="eastAsia"/>
          <w:lang w:val="en-US" w:eastAsia="zh-CN"/>
        </w:rPr>
        <w:t>In our opinion</w:t>
      </w:r>
      <w:r>
        <w:rPr>
          <w:lang w:val="en-GB" w:eastAsia="zh-CN"/>
        </w:rPr>
        <w:t>,</w:t>
      </w:r>
      <w:r>
        <w:rPr>
          <w:rFonts w:hint="eastAsia"/>
          <w:lang w:val="en-US" w:eastAsia="zh-CN"/>
        </w:rPr>
        <w:t xml:space="preserve"> </w:t>
      </w:r>
      <w:r>
        <w:rPr>
          <w:rFonts w:hint="eastAsia" w:ascii="Times New Roman" w:hAnsi="Times New Roman" w:cs="Times New Roman"/>
          <w:lang w:val="en-US" w:eastAsia="zh-CN"/>
        </w:rPr>
        <w:t>if a UE supports introducing RedCap/eRedCap-specific capability for R-18 QoE, the eRedCap UE should have the same minimum memory size for QoE in RRC_IDLE/RRC_INACTIVE as the RedCap UE. The minimum requirement for both IDLE/INACTIVE and paused reports is a total of 64 KB.</w:t>
      </w:r>
    </w:p>
    <w:p>
      <w:pPr>
        <w:spacing w:after="0"/>
        <w:jc w:val="both"/>
        <w:rPr>
          <w:rFonts w:hint="eastAsia" w:ascii="Times New Roman" w:hAnsi="Times New Roman"/>
          <w:b/>
          <w:bCs w:val="0"/>
          <w:highlight w:val="none"/>
          <w:lang w:val="en-US" w:eastAsia="zh-CN"/>
        </w:rPr>
      </w:pPr>
      <w:r>
        <w:rPr>
          <w:rFonts w:hint="eastAsia" w:ascii="Times New Roman" w:hAnsi="Times New Roman"/>
          <w:b/>
          <w:bCs w:val="0"/>
          <w:highlight w:val="none"/>
          <w:lang w:val="en-US" w:eastAsia="zh-CN"/>
        </w:rPr>
        <w:t xml:space="preserve">Observation 2: If a UE supports introducing RedCap/eRedCap-specific capability for R-18 QoE, the minimum requirement for both IDLE/INACTIVE and paused reports is a total of 64 KB. </w:t>
      </w:r>
    </w:p>
    <w:p>
      <w:pPr>
        <w:spacing w:before="0" w:after="0" w:line="240" w:lineRule="auto"/>
        <w:jc w:val="left"/>
        <w:outlineLvl w:val="2"/>
        <w:rPr>
          <w:rFonts w:hint="eastAsia" w:ascii="Times New Roman" w:hAnsi="Times New Roman" w:cs="Times New Roman"/>
          <w:bCs/>
          <w:lang w:val="en-US" w:eastAsia="zh-CN"/>
        </w:rPr>
      </w:pPr>
      <w:r>
        <w:rPr>
          <w:rFonts w:hint="eastAsia" w:ascii="Times New Roman" w:hAnsi="Times New Roman" w:eastAsiaTheme="minorEastAsia" w:cstheme="minorBidi"/>
          <w:b/>
          <w:bCs/>
          <w:i w:val="0"/>
          <w:iCs w:val="0"/>
          <w:sz w:val="22"/>
          <w:szCs w:val="22"/>
          <w:u w:val="single"/>
          <w:lang w:val="en-US" w:eastAsia="zh-CN"/>
        </w:rPr>
        <w:t>Mobility</w:t>
      </w:r>
    </w:p>
    <w:p>
      <w:pPr>
        <w:spacing w:after="0"/>
        <w:jc w:val="both"/>
        <w:rPr>
          <w:rFonts w:hint="eastAsia"/>
          <w:lang w:val="en-US" w:eastAsia="zh-CN"/>
        </w:rPr>
      </w:pPr>
      <w:r>
        <w:rPr>
          <w:rFonts w:hint="eastAsia"/>
          <w:lang w:val="en-US" w:eastAsia="zh-CN"/>
        </w:rPr>
        <w:t xml:space="preserve">Based on RIL issue E046 in 6.2.2 </w:t>
      </w:r>
      <w:r>
        <w:rPr>
          <w:rFonts w:hint="eastAsia" w:eastAsia="宋体"/>
          <w:highlight w:val="none"/>
          <w:lang w:val="en-US" w:eastAsia="zh-CN"/>
        </w:rPr>
        <w:t>[1]</w:t>
      </w:r>
      <w:r>
        <w:rPr>
          <w:rFonts w:hint="eastAsia"/>
          <w:lang w:val="en-US" w:eastAsia="zh-CN"/>
        </w:rPr>
        <w:t xml:space="preserve">, the network might not have the correct application layer measurement session status if a conditional handover is executed or if the session status changed just before a handover. Some companies think that the UE can resend the session status indicator in the target node, similar to when transitioning to RRC_CONNECTED. However, in our understanding, this optimization may not be necessary as changes in the connected state of the UE are considered corner cases. In other words, scenarios where a handover is performed immediately after a session status update are relatively rare. Therefore, we suggest that no further optimization is required for the indication of </w:t>
      </w:r>
      <w:r>
        <w:rPr>
          <w:rFonts w:hint="eastAsia"/>
          <w:i/>
          <w:iCs/>
          <w:lang w:val="en-US" w:eastAsia="zh-CN"/>
        </w:rPr>
        <w:t>appLayerSessionStatus</w:t>
      </w:r>
      <w:r>
        <w:rPr>
          <w:rFonts w:hint="eastAsia"/>
          <w:lang w:val="en-US" w:eastAsia="zh-CN"/>
        </w:rPr>
        <w:t>.</w:t>
      </w:r>
    </w:p>
    <w:p>
      <w:pPr>
        <w:pStyle w:val="2"/>
        <w:rPr>
          <w:rFonts w:hint="default" w:ascii="Times New Roman" w:hAnsi="Times New Roman" w:eastAsiaTheme="minorEastAsia" w:cstheme="minorBidi"/>
          <w:b/>
          <w:bCs w:val="0"/>
          <w:sz w:val="20"/>
          <w:szCs w:val="22"/>
          <w:highlight w:val="none"/>
          <w:lang w:val="en-US" w:eastAsia="zh-CN" w:bidi="ar-SA"/>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 xml:space="preserve">l </w:t>
      </w:r>
      <w:r>
        <w:rPr>
          <w:rFonts w:hint="eastAsia" w:ascii="Times New Roman" w:hAnsi="Times New Roman" w:cstheme="minorBidi"/>
          <w:b/>
          <w:bCs w:val="0"/>
          <w:sz w:val="20"/>
          <w:szCs w:val="22"/>
          <w:highlight w:val="none"/>
          <w:lang w:val="en-US" w:eastAsia="zh-CN" w:bidi="ar-SA"/>
        </w:rPr>
        <w:t>1</w:t>
      </w:r>
      <w:r>
        <w:rPr>
          <w:rFonts w:hint="default" w:ascii="Times New Roman" w:hAnsi="Times New Roman" w:eastAsiaTheme="minorEastAsia" w:cstheme="minorBidi"/>
          <w:b/>
          <w:bCs w:val="0"/>
          <w:sz w:val="20"/>
          <w:szCs w:val="22"/>
          <w:highlight w:val="none"/>
          <w:lang w:val="en-US" w:eastAsia="zh-CN" w:bidi="ar-SA"/>
        </w:rPr>
        <w:t>:</w:t>
      </w:r>
      <w:r>
        <w:rPr>
          <w:rFonts w:hint="eastAsia" w:ascii="Times New Roman" w:hAnsi="Times New Roman" w:eastAsiaTheme="minorEastAsia" w:cstheme="minorBidi"/>
          <w:b/>
          <w:bCs w:val="0"/>
          <w:sz w:val="20"/>
          <w:szCs w:val="22"/>
          <w:highlight w:val="none"/>
          <w:lang w:val="en-US" w:eastAsia="zh-CN" w:bidi="ar-SA"/>
        </w:rPr>
        <w:t xml:space="preserve"> No further optimization is required for the </w:t>
      </w:r>
      <w:r>
        <w:rPr>
          <w:rFonts w:hint="eastAsia" w:ascii="Times New Roman" w:hAnsi="Times New Roman" w:eastAsiaTheme="minorEastAsia" w:cstheme="minorBidi"/>
          <w:b/>
          <w:bCs w:val="0"/>
          <w:i/>
          <w:iCs/>
          <w:sz w:val="20"/>
          <w:szCs w:val="22"/>
          <w:highlight w:val="none"/>
          <w:lang w:val="en-US" w:eastAsia="zh-CN" w:bidi="ar-SA"/>
        </w:rPr>
        <w:t>appLayerSessionStatus</w:t>
      </w:r>
      <w:r>
        <w:rPr>
          <w:rFonts w:hint="eastAsia" w:ascii="Times New Roman" w:hAnsi="Times New Roman" w:eastAsiaTheme="minorEastAsia" w:cstheme="minorBidi"/>
          <w:b/>
          <w:bCs w:val="0"/>
          <w:sz w:val="20"/>
          <w:szCs w:val="22"/>
          <w:highlight w:val="none"/>
          <w:lang w:val="en-US" w:eastAsia="zh-CN" w:bidi="ar-SA"/>
        </w:rPr>
        <w:t xml:space="preserve"> indication. </w:t>
      </w:r>
    </w:p>
    <w:p>
      <w:pPr>
        <w:spacing w:before="0" w:after="0" w:line="240" w:lineRule="auto"/>
        <w:jc w:val="left"/>
        <w:outlineLvl w:val="2"/>
        <w:rPr>
          <w:rFonts w:hint="eastAsia" w:ascii="Times New Roman" w:hAnsi="Times New Roman" w:eastAsiaTheme="minorEastAsia" w:cstheme="minorBidi"/>
          <w:b/>
          <w:bCs/>
          <w:i w:val="0"/>
          <w:iCs w:val="0"/>
          <w:sz w:val="22"/>
          <w:szCs w:val="22"/>
          <w:u w:val="single"/>
          <w:lang w:val="en-US" w:eastAsia="zh-CN"/>
        </w:rPr>
      </w:pPr>
      <w:r>
        <w:rPr>
          <w:rFonts w:hint="eastAsia" w:ascii="Times New Roman" w:hAnsi="Times New Roman" w:eastAsiaTheme="minorEastAsia" w:cstheme="minorBidi"/>
          <w:b/>
          <w:bCs/>
          <w:i w:val="0"/>
          <w:iCs w:val="0"/>
          <w:sz w:val="22"/>
          <w:szCs w:val="22"/>
          <w:u w:val="single"/>
          <w:lang w:val="en-US" w:eastAsia="zh-CN"/>
        </w:rPr>
        <w:t>QoE continuity during inter-RAT HO</w:t>
      </w:r>
    </w:p>
    <w:p>
      <w:pPr>
        <w:keepNext w:val="0"/>
        <w:keepLines w:val="0"/>
        <w:widowControl/>
        <w:suppressLineNumbers w:val="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Based on the editor's note in Chapter 5.4.2.3</w:t>
      </w:r>
      <w:r>
        <w:rPr>
          <w:rFonts w:hint="eastAsia" w:cs="Times New Roman"/>
          <w:bCs/>
          <w:lang w:val="en-US" w:eastAsia="zh-CN"/>
        </w:rPr>
        <w:t xml:space="preserve"> </w:t>
      </w:r>
      <w:r>
        <w:rPr>
          <w:rFonts w:hint="eastAsia" w:eastAsia="宋体"/>
          <w:highlight w:val="none"/>
          <w:lang w:val="en-US" w:eastAsia="zh-CN"/>
        </w:rPr>
        <w:t>[1]</w:t>
      </w:r>
      <w:r>
        <w:rPr>
          <w:rFonts w:hint="eastAsia" w:ascii="Times New Roman" w:hAnsi="Times New Roman" w:cs="Times New Roman"/>
          <w:bCs/>
          <w:lang w:val="en-US" w:eastAsia="zh-CN"/>
        </w:rPr>
        <w:t xml:space="preserve">, </w:t>
      </w:r>
      <w:r>
        <w:rPr>
          <w:rFonts w:eastAsia="等线"/>
          <w:color w:val="auto"/>
          <w:lang w:eastAsia="zh-CN"/>
        </w:rPr>
        <w:t>FFS whether to capture the agreement that all LTE QoE configurations are released at handover to NR in LTE specification or NR specification.</w:t>
      </w:r>
      <w:r>
        <w:rPr>
          <w:rFonts w:hint="eastAsia" w:ascii="Times New Roman" w:hAnsi="Times New Roman" w:cs="Times New Roman"/>
          <w:bCs/>
          <w:lang w:val="en-US" w:eastAsia="zh-CN"/>
        </w:rPr>
        <w:t xml:space="preserve"> </w:t>
      </w:r>
      <w:r>
        <w:rPr>
          <w:rFonts w:hint="default" w:ascii="Times New Roman" w:hAnsi="Times New Roman" w:cs="Times New Roman"/>
          <w:bCs/>
          <w:lang w:val="en-US" w:eastAsia="zh-CN"/>
        </w:rPr>
        <w:t xml:space="preserve">In our understanding, </w:t>
      </w:r>
      <w:r>
        <w:rPr>
          <w:rFonts w:hint="eastAsia" w:ascii="Times New Roman" w:hAnsi="Times New Roman" w:cs="Times New Roman"/>
          <w:bCs/>
          <w:lang w:val="en-US" w:eastAsia="zh-CN"/>
        </w:rPr>
        <w:t>the UE is capable of sensing the transition from an LTE base station to an NR base station, which means that during the handover, the UE can actively release all LTE QoE configurations based on the sensed information. Therefore, we believe that there is no need to capture the agreement in the LTE or NR specifications that all LTE QoE configurations are released when switching to NR.</w:t>
      </w:r>
    </w:p>
    <w:p>
      <w:pPr>
        <w:pStyle w:val="2"/>
        <w:rPr>
          <w:rFonts w:hint="default"/>
          <w:b/>
          <w:bCs w:val="0"/>
          <w:highlight w:val="none"/>
          <w:lang w:val="en-US" w:eastAsia="zh-CN"/>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 xml:space="preserve">l </w:t>
      </w:r>
      <w:r>
        <w:rPr>
          <w:rFonts w:hint="eastAsia" w:ascii="Times New Roman" w:hAnsi="Times New Roman" w:cstheme="minorBidi"/>
          <w:b/>
          <w:bCs w:val="0"/>
          <w:sz w:val="20"/>
          <w:szCs w:val="22"/>
          <w:highlight w:val="none"/>
          <w:lang w:val="en-US" w:eastAsia="zh-CN" w:bidi="ar-SA"/>
        </w:rPr>
        <w:t>2</w:t>
      </w:r>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There is no need to capture the agreement in the LTE or NR specifications that all LTE QoE configurations are released when switching to NR.</w:t>
      </w:r>
    </w:p>
    <w:bookmarkEnd w:id="1"/>
    <w:p>
      <w:pPr>
        <w:pStyle w:val="3"/>
        <w:rPr>
          <w:rFonts w:cs="Arial"/>
          <w:b/>
          <w:lang w:val="en-US"/>
        </w:rPr>
      </w:pPr>
      <w:bookmarkStart w:id="2" w:name="_Hlk83889356"/>
      <w:bookmarkStart w:id="3" w:name="_Hlk83889312"/>
      <w:r>
        <w:rPr>
          <w:rFonts w:cs="Arial"/>
          <w:b/>
          <w:lang w:val="en-US"/>
        </w:rPr>
        <w:t>Conclusion</w:t>
      </w:r>
    </w:p>
    <w:bookmarkEnd w:id="2"/>
    <w:p>
      <w:pPr>
        <w:pStyle w:val="2"/>
        <w:rPr>
          <w:rFonts w:hint="default" w:ascii="Times New Roman" w:hAnsi="Times New Roman" w:cs="Times New Roman"/>
        </w:rPr>
      </w:pPr>
      <w:r>
        <w:rPr>
          <w:rFonts w:hint="default" w:ascii="Times New Roman" w:hAnsi="Times New Roman" w:cs="Times New Roman"/>
        </w:rPr>
        <w:t xml:space="preserve">In </w:t>
      </w:r>
      <w:bookmarkStart w:id="4" w:name="_Hlk83889481"/>
      <w:r>
        <w:rPr>
          <w:rFonts w:hint="default" w:ascii="Times New Roman" w:hAnsi="Times New Roman" w:cs="Times New Roman"/>
        </w:rPr>
        <w:t xml:space="preserve">previous sections, the following observations and proposals were made: </w:t>
      </w:r>
    </w:p>
    <w:bookmarkEnd w:id="3"/>
    <w:bookmarkEnd w:id="4"/>
    <w:p>
      <w:pPr>
        <w:spacing w:after="0"/>
        <w:rPr>
          <w:rFonts w:hint="default"/>
          <w:lang w:val="en-US" w:eastAsia="zh-CN"/>
        </w:rPr>
      </w:pPr>
      <w:r>
        <w:rPr>
          <w:rFonts w:hint="eastAsia"/>
          <w:b/>
          <w:bCs w:val="0"/>
          <w:highlight w:val="none"/>
          <w:lang w:val="en-US" w:eastAsia="zh-CN"/>
        </w:rPr>
        <w:t xml:space="preserve">Observation 1: Considering that RAN2 does not actually discuss the details to supports QoE for redCap UE, there is no need to introduce a RedCap-specific QoE capability in R18. </w:t>
      </w:r>
    </w:p>
    <w:p>
      <w:pPr>
        <w:spacing w:after="0"/>
        <w:jc w:val="both"/>
        <w:rPr>
          <w:rFonts w:hint="eastAsia" w:ascii="Times New Roman" w:hAnsi="Times New Roman"/>
          <w:b/>
          <w:bCs w:val="0"/>
          <w:highlight w:val="none"/>
          <w:lang w:val="en-US" w:eastAsia="zh-CN"/>
        </w:rPr>
      </w:pPr>
      <w:r>
        <w:rPr>
          <w:rFonts w:hint="eastAsia" w:ascii="Times New Roman" w:hAnsi="Times New Roman"/>
          <w:b/>
          <w:bCs w:val="0"/>
          <w:highlight w:val="none"/>
          <w:lang w:val="en-US" w:eastAsia="zh-CN"/>
        </w:rPr>
        <w:t xml:space="preserve">Observation 2: If a UE supports introducing RedCap/eRedCap-specific capability for R-18 QoE, the minimum requirement for both IDLE/INACTIVE and paused reports is a total of 64 KB. </w:t>
      </w:r>
    </w:p>
    <w:p>
      <w:pPr>
        <w:pStyle w:val="2"/>
        <w:rPr>
          <w:rFonts w:hint="default" w:ascii="Times New Roman" w:hAnsi="Times New Roman" w:eastAsiaTheme="minorEastAsia" w:cstheme="minorBidi"/>
          <w:b/>
          <w:bCs w:val="0"/>
          <w:sz w:val="20"/>
          <w:szCs w:val="22"/>
          <w:highlight w:val="none"/>
          <w:lang w:val="en-US" w:eastAsia="zh-CN" w:bidi="ar-SA"/>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 xml:space="preserve">l </w:t>
      </w:r>
      <w:r>
        <w:rPr>
          <w:rFonts w:hint="eastAsia" w:ascii="Times New Roman" w:hAnsi="Times New Roman" w:cstheme="minorBidi"/>
          <w:b/>
          <w:bCs w:val="0"/>
          <w:sz w:val="20"/>
          <w:szCs w:val="22"/>
          <w:highlight w:val="none"/>
          <w:lang w:val="en-US" w:eastAsia="zh-CN" w:bidi="ar-SA"/>
        </w:rPr>
        <w:t>1</w:t>
      </w:r>
      <w:r>
        <w:rPr>
          <w:rFonts w:hint="default" w:ascii="Times New Roman" w:hAnsi="Times New Roman" w:eastAsiaTheme="minorEastAsia" w:cstheme="minorBidi"/>
          <w:b/>
          <w:bCs w:val="0"/>
          <w:sz w:val="20"/>
          <w:szCs w:val="22"/>
          <w:highlight w:val="none"/>
          <w:lang w:val="en-US" w:eastAsia="zh-CN" w:bidi="ar-SA"/>
        </w:rPr>
        <w:t>:</w:t>
      </w:r>
      <w:r>
        <w:rPr>
          <w:rFonts w:hint="eastAsia" w:ascii="Times New Roman" w:hAnsi="Times New Roman" w:eastAsiaTheme="minorEastAsia" w:cstheme="minorBidi"/>
          <w:b/>
          <w:bCs w:val="0"/>
          <w:sz w:val="20"/>
          <w:szCs w:val="22"/>
          <w:highlight w:val="none"/>
          <w:lang w:val="en-US" w:eastAsia="zh-CN" w:bidi="ar-SA"/>
        </w:rPr>
        <w:t xml:space="preserve"> No further optimization is required for the </w:t>
      </w:r>
      <w:r>
        <w:rPr>
          <w:rFonts w:hint="eastAsia" w:ascii="Times New Roman" w:hAnsi="Times New Roman" w:eastAsiaTheme="minorEastAsia" w:cstheme="minorBidi"/>
          <w:b/>
          <w:bCs w:val="0"/>
          <w:i/>
          <w:iCs/>
          <w:sz w:val="20"/>
          <w:szCs w:val="22"/>
          <w:highlight w:val="none"/>
          <w:lang w:val="en-US" w:eastAsia="zh-CN" w:bidi="ar-SA"/>
        </w:rPr>
        <w:t>appLayerSessionStatus</w:t>
      </w:r>
      <w:r>
        <w:rPr>
          <w:rFonts w:hint="eastAsia" w:ascii="Times New Roman" w:hAnsi="Times New Roman" w:eastAsiaTheme="minorEastAsia" w:cstheme="minorBidi"/>
          <w:b/>
          <w:bCs w:val="0"/>
          <w:sz w:val="20"/>
          <w:szCs w:val="22"/>
          <w:highlight w:val="none"/>
          <w:lang w:val="en-US" w:eastAsia="zh-CN" w:bidi="ar-SA"/>
        </w:rPr>
        <w:t xml:space="preserve"> indication. </w:t>
      </w:r>
    </w:p>
    <w:p>
      <w:pPr>
        <w:pStyle w:val="2"/>
        <w:rPr>
          <w:rFonts w:hint="default"/>
          <w:b/>
          <w:bCs w:val="0"/>
          <w:highlight w:val="none"/>
          <w:lang w:val="en-US" w:eastAsia="zh-CN"/>
        </w:rPr>
      </w:pPr>
      <w:r>
        <w:rPr>
          <w:rFonts w:ascii="Times New Roman" w:hAnsi="Times New Roman" w:eastAsiaTheme="minorEastAsia" w:cstheme="minorBidi"/>
          <w:b/>
          <w:bCs w:val="0"/>
          <w:sz w:val="20"/>
          <w:szCs w:val="22"/>
          <w:highlight w:val="none"/>
          <w:lang w:val="en-US" w:eastAsia="en-US" w:bidi="ar-SA"/>
        </w:rPr>
        <w:t>Proposa</w:t>
      </w:r>
      <w:r>
        <w:rPr>
          <w:rFonts w:hint="eastAsia" w:ascii="Times New Roman" w:hAnsi="Times New Roman" w:eastAsiaTheme="minorEastAsia" w:cstheme="minorBidi"/>
          <w:b/>
          <w:bCs w:val="0"/>
          <w:sz w:val="20"/>
          <w:szCs w:val="22"/>
          <w:highlight w:val="none"/>
          <w:lang w:val="en-US" w:eastAsia="zh-CN" w:bidi="ar-SA"/>
        </w:rPr>
        <w:t>l</w:t>
      </w:r>
      <w:r>
        <w:rPr>
          <w:rFonts w:hint="eastAsia" w:ascii="Times New Roman" w:hAnsi="Times New Roman" w:cstheme="minorBidi"/>
          <w:b/>
          <w:bCs w:val="0"/>
          <w:sz w:val="20"/>
          <w:szCs w:val="22"/>
          <w:highlight w:val="none"/>
          <w:lang w:val="en-US" w:eastAsia="zh-CN" w:bidi="ar-SA"/>
        </w:rPr>
        <w:t xml:space="preserve"> 2</w:t>
      </w:r>
      <w:r>
        <w:rPr>
          <w:rFonts w:hint="default" w:ascii="Times New Roman" w:hAnsi="Times New Roman" w:eastAsiaTheme="minorEastAsia" w:cstheme="minorBidi"/>
          <w:b/>
          <w:bCs w:val="0"/>
          <w:sz w:val="20"/>
          <w:szCs w:val="22"/>
          <w:highlight w:val="none"/>
          <w:lang w:val="en-US" w:eastAsia="zh-CN" w:bidi="ar-SA"/>
        </w:rPr>
        <w:t xml:space="preserve">: </w:t>
      </w:r>
      <w:r>
        <w:rPr>
          <w:rFonts w:hint="eastAsia" w:ascii="Times New Roman" w:hAnsi="Times New Roman" w:eastAsiaTheme="minorEastAsia" w:cstheme="minorBidi"/>
          <w:b/>
          <w:bCs w:val="0"/>
          <w:sz w:val="20"/>
          <w:szCs w:val="22"/>
          <w:highlight w:val="none"/>
          <w:lang w:val="en-US" w:eastAsia="zh-CN" w:bidi="ar-SA"/>
        </w:rPr>
        <w:t xml:space="preserve">There is no need to capture </w:t>
      </w:r>
      <w:r>
        <w:rPr>
          <w:rFonts w:hint="eastAsia" w:ascii="Times New Roman" w:hAnsi="Times New Roman" w:cstheme="minorBidi"/>
          <w:b/>
          <w:bCs w:val="0"/>
          <w:sz w:val="20"/>
          <w:szCs w:val="22"/>
          <w:highlight w:val="none"/>
          <w:lang w:val="en-US" w:eastAsia="zh-CN" w:bidi="ar-SA"/>
        </w:rPr>
        <w:t xml:space="preserve">in specs </w:t>
      </w:r>
      <w:bookmarkStart w:id="5" w:name="_GoBack"/>
      <w:bookmarkEnd w:id="5"/>
      <w:r>
        <w:rPr>
          <w:rFonts w:hint="eastAsia" w:ascii="Times New Roman" w:hAnsi="Times New Roman" w:eastAsiaTheme="minorEastAsia" w:cstheme="minorBidi"/>
          <w:b/>
          <w:bCs w:val="0"/>
          <w:sz w:val="20"/>
          <w:szCs w:val="22"/>
          <w:highlight w:val="none"/>
          <w:lang w:val="en-US" w:eastAsia="zh-CN" w:bidi="ar-SA"/>
        </w:rPr>
        <w:t>the agreement in the LTE or NR specifications that all LTE QoE configurations are released when switching to NR.</w:t>
      </w:r>
    </w:p>
    <w:p>
      <w:pPr>
        <w:pStyle w:val="2"/>
        <w:rPr>
          <w:rFonts w:hint="eastAsia"/>
          <w:lang w:val="en-US" w:eastAsia="zh-CN"/>
        </w:rPr>
      </w:pPr>
    </w:p>
    <w:p>
      <w:pPr>
        <w:pStyle w:val="3"/>
        <w:rPr>
          <w:rFonts w:cs="Arial"/>
          <w:b/>
          <w:lang w:val="en-US" w:eastAsia="ja-JP"/>
        </w:rPr>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pPr>
    </w:p>
    <w:p>
      <w:pPr>
        <w:pStyle w:val="3"/>
        <w:rPr>
          <w:rFonts w:cs="Arial"/>
          <w:b/>
          <w:lang w:val="en-US" w:eastAsia="ja-JP"/>
        </w:rPr>
      </w:pPr>
      <w:r>
        <w:rPr>
          <w:rFonts w:cs="Arial"/>
          <w:b/>
          <w:lang w:val="en-US" w:eastAsia="ja-JP"/>
        </w:rPr>
        <w:t>References</w:t>
      </w:r>
    </w:p>
    <w:p>
      <w:pPr>
        <w:pStyle w:val="47"/>
        <w:numPr>
          <w:ilvl w:val="0"/>
          <w:numId w:val="7"/>
        </w:numPr>
        <w:rPr>
          <w:rFonts w:hint="default" w:ascii="Times New Roman" w:hAnsi="Times New Roman" w:eastAsiaTheme="minorEastAsia" w:cstheme="minorBidi"/>
          <w:sz w:val="20"/>
          <w:szCs w:val="22"/>
          <w:lang w:val="en-US" w:eastAsia="zh-CN" w:bidi="ar-SA"/>
        </w:rPr>
      </w:pPr>
      <w:r>
        <w:rPr>
          <w:rFonts w:hint="default" w:ascii="Times New Roman" w:hAnsi="Times New Roman" w:eastAsiaTheme="minorEastAsia" w:cstheme="minorBidi"/>
          <w:sz w:val="20"/>
          <w:szCs w:val="22"/>
          <w:lang w:val="en-US" w:eastAsia="zh-CN" w:bidi="ar-SA"/>
        </w:rPr>
        <w:t>38331 Rel18 ASN1 review v228</w:t>
      </w:r>
    </w:p>
    <w:p>
      <w:pPr>
        <w:pStyle w:val="14"/>
        <w:numPr>
          <w:ilvl w:val="0"/>
          <w:numId w:val="0"/>
        </w:numPr>
        <w:ind w:left="426"/>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6"/>
        <w:rFonts w:eastAsiaTheme="majorEastAsia"/>
      </w:rPr>
      <w:fldChar w:fldCharType="begin"/>
    </w:r>
    <w:r>
      <w:rPr>
        <w:rStyle w:val="26"/>
        <w:rFonts w:eastAsiaTheme="majorEastAsia"/>
      </w:rPr>
      <w:instrText xml:space="preserve"> PAGE </w:instrText>
    </w:r>
    <w:r>
      <w:rPr>
        <w:rStyle w:val="26"/>
        <w:rFonts w:eastAsiaTheme="majorEastAsia"/>
      </w:rPr>
      <w:fldChar w:fldCharType="separate"/>
    </w:r>
    <w:r>
      <w:rPr>
        <w:rStyle w:val="26"/>
        <w:rFonts w:eastAsiaTheme="majorEastAsia"/>
      </w:rPr>
      <w:t>4</w:t>
    </w:r>
    <w:r>
      <w:rPr>
        <w:rStyle w:val="26"/>
        <w:rFonts w:eastAsiaTheme="majorEastAsia"/>
      </w:rPr>
      <w:fldChar w:fldCharType="end"/>
    </w:r>
    <w:r>
      <w:rPr>
        <w:rStyle w:val="26"/>
        <w:rFonts w:eastAsiaTheme="majorEastAsia"/>
      </w:rPr>
      <w:t>/</w:t>
    </w:r>
    <w:r>
      <w:rPr>
        <w:rStyle w:val="26"/>
        <w:rFonts w:eastAsiaTheme="majorEastAsia"/>
      </w:rPr>
      <w:fldChar w:fldCharType="begin"/>
    </w:r>
    <w:r>
      <w:rPr>
        <w:rStyle w:val="26"/>
        <w:rFonts w:eastAsiaTheme="majorEastAsia"/>
      </w:rPr>
      <w:instrText xml:space="preserve"> NUMPAGES </w:instrText>
    </w:r>
    <w:r>
      <w:rPr>
        <w:rStyle w:val="26"/>
        <w:rFonts w:eastAsiaTheme="majorEastAsia"/>
      </w:rPr>
      <w:fldChar w:fldCharType="separate"/>
    </w:r>
    <w:r>
      <w:rPr>
        <w:rStyle w:val="26"/>
        <w:rFonts w:eastAsiaTheme="majorEastAsia"/>
      </w:rPr>
      <w:t>4</w:t>
    </w:r>
    <w:r>
      <w:rPr>
        <w:rStyle w:val="26"/>
        <w:rFonts w:eastAsiaTheme="majorEastAsia"/>
      </w:rPr>
      <w:fldChar w:fldCharType="end"/>
    </w:r>
    <w:r>
      <w:rPr>
        <w:rStyle w:val="26"/>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1"/>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66"/>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6"/>
  </w:num>
  <w:num w:numId="3">
    <w:abstractNumId w:val="2"/>
  </w:num>
  <w:num w:numId="4">
    <w:abstractNumId w:val="4"/>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3C33AB3"/>
    <w:rsid w:val="06D0D49D"/>
    <w:rsid w:val="070A7848"/>
    <w:rsid w:val="0D4D1B66"/>
    <w:rsid w:val="0E3E9496"/>
    <w:rsid w:val="0E52194B"/>
    <w:rsid w:val="0E5F9CB4"/>
    <w:rsid w:val="0F0EE4C1"/>
    <w:rsid w:val="0F662082"/>
    <w:rsid w:val="118620FD"/>
    <w:rsid w:val="11E651B7"/>
    <w:rsid w:val="121A43C3"/>
    <w:rsid w:val="12496A3B"/>
    <w:rsid w:val="13C450AE"/>
    <w:rsid w:val="14743F25"/>
    <w:rsid w:val="14F944F9"/>
    <w:rsid w:val="155A6B9F"/>
    <w:rsid w:val="15A77CF7"/>
    <w:rsid w:val="15EFE608"/>
    <w:rsid w:val="16576968"/>
    <w:rsid w:val="17A45AFA"/>
    <w:rsid w:val="18EC56F3"/>
    <w:rsid w:val="1B042611"/>
    <w:rsid w:val="1B7B7E50"/>
    <w:rsid w:val="1CD93B83"/>
    <w:rsid w:val="1D954282"/>
    <w:rsid w:val="1DFBF6E4"/>
    <w:rsid w:val="1EDE4DFF"/>
    <w:rsid w:val="1F4C11C0"/>
    <w:rsid w:val="1FDFA2FB"/>
    <w:rsid w:val="1FED5282"/>
    <w:rsid w:val="220F40B5"/>
    <w:rsid w:val="24491FAA"/>
    <w:rsid w:val="24BE5892"/>
    <w:rsid w:val="24FB5DB3"/>
    <w:rsid w:val="255A63A5"/>
    <w:rsid w:val="26325F07"/>
    <w:rsid w:val="26882CCD"/>
    <w:rsid w:val="26F7BF4C"/>
    <w:rsid w:val="27FF4E9B"/>
    <w:rsid w:val="297DC4A8"/>
    <w:rsid w:val="29C2622A"/>
    <w:rsid w:val="2DC83BAA"/>
    <w:rsid w:val="2E296D2D"/>
    <w:rsid w:val="2F8E5407"/>
    <w:rsid w:val="2FC54FF6"/>
    <w:rsid w:val="315601A1"/>
    <w:rsid w:val="316A5656"/>
    <w:rsid w:val="31FE24B3"/>
    <w:rsid w:val="326A457D"/>
    <w:rsid w:val="34674028"/>
    <w:rsid w:val="357F29CC"/>
    <w:rsid w:val="36EE39A5"/>
    <w:rsid w:val="373D97F8"/>
    <w:rsid w:val="37E9458F"/>
    <w:rsid w:val="39F73F8B"/>
    <w:rsid w:val="3A00635D"/>
    <w:rsid w:val="3A6D81E3"/>
    <w:rsid w:val="3AFD6523"/>
    <w:rsid w:val="3BE3D02D"/>
    <w:rsid w:val="3BFF0C49"/>
    <w:rsid w:val="3E985826"/>
    <w:rsid w:val="3F6203BF"/>
    <w:rsid w:val="3FB25CDD"/>
    <w:rsid w:val="3FF79F2F"/>
    <w:rsid w:val="3FFA43A6"/>
    <w:rsid w:val="3FFADB85"/>
    <w:rsid w:val="3FFD8422"/>
    <w:rsid w:val="43B74DAF"/>
    <w:rsid w:val="44251F17"/>
    <w:rsid w:val="44426540"/>
    <w:rsid w:val="45252301"/>
    <w:rsid w:val="456D246E"/>
    <w:rsid w:val="457B68DE"/>
    <w:rsid w:val="462420DE"/>
    <w:rsid w:val="4693A455"/>
    <w:rsid w:val="469559DB"/>
    <w:rsid w:val="46BD331C"/>
    <w:rsid w:val="476BE6B9"/>
    <w:rsid w:val="49D1242C"/>
    <w:rsid w:val="52954B26"/>
    <w:rsid w:val="53DBFC72"/>
    <w:rsid w:val="54140328"/>
    <w:rsid w:val="55FD291D"/>
    <w:rsid w:val="55FF6ECC"/>
    <w:rsid w:val="56DD3CBA"/>
    <w:rsid w:val="570E7D91"/>
    <w:rsid w:val="5752678E"/>
    <w:rsid w:val="57F9F4C0"/>
    <w:rsid w:val="59F61CB3"/>
    <w:rsid w:val="5A49DD30"/>
    <w:rsid w:val="5A874152"/>
    <w:rsid w:val="5AA62ECB"/>
    <w:rsid w:val="5B0F4579"/>
    <w:rsid w:val="5B47CE77"/>
    <w:rsid w:val="5BBF1214"/>
    <w:rsid w:val="5BC85F49"/>
    <w:rsid w:val="5C2A2C79"/>
    <w:rsid w:val="5CD32C79"/>
    <w:rsid w:val="5D76D220"/>
    <w:rsid w:val="5EB79E98"/>
    <w:rsid w:val="5EE6136B"/>
    <w:rsid w:val="5F236657"/>
    <w:rsid w:val="5F329599"/>
    <w:rsid w:val="5FDF69FF"/>
    <w:rsid w:val="5FFE6C8D"/>
    <w:rsid w:val="60A80188"/>
    <w:rsid w:val="60F0791A"/>
    <w:rsid w:val="616B33C9"/>
    <w:rsid w:val="62FF9A58"/>
    <w:rsid w:val="63672E8A"/>
    <w:rsid w:val="677D7344"/>
    <w:rsid w:val="67D40E11"/>
    <w:rsid w:val="67E56CE4"/>
    <w:rsid w:val="6843BC62"/>
    <w:rsid w:val="691275D4"/>
    <w:rsid w:val="6962E34B"/>
    <w:rsid w:val="69BFF422"/>
    <w:rsid w:val="69C76F56"/>
    <w:rsid w:val="69E5BA5C"/>
    <w:rsid w:val="6A900D7F"/>
    <w:rsid w:val="6A900FDA"/>
    <w:rsid w:val="6AEC7E8E"/>
    <w:rsid w:val="6B0278D1"/>
    <w:rsid w:val="6C286E44"/>
    <w:rsid w:val="6C76434F"/>
    <w:rsid w:val="6CA8A0BD"/>
    <w:rsid w:val="6CB5781F"/>
    <w:rsid w:val="6CF94B0A"/>
    <w:rsid w:val="6D074150"/>
    <w:rsid w:val="6D7C1927"/>
    <w:rsid w:val="6DE77C74"/>
    <w:rsid w:val="6E4749C0"/>
    <w:rsid w:val="6E6F6473"/>
    <w:rsid w:val="6EBD79AA"/>
    <w:rsid w:val="6ECE20D9"/>
    <w:rsid w:val="6EDFE721"/>
    <w:rsid w:val="6F2B2DF9"/>
    <w:rsid w:val="6F7FE3F0"/>
    <w:rsid w:val="6FC7F1BE"/>
    <w:rsid w:val="6FCFC971"/>
    <w:rsid w:val="71B722E2"/>
    <w:rsid w:val="727428C1"/>
    <w:rsid w:val="72FF0769"/>
    <w:rsid w:val="737F5333"/>
    <w:rsid w:val="73FF9F8C"/>
    <w:rsid w:val="744866A3"/>
    <w:rsid w:val="757BF952"/>
    <w:rsid w:val="75FFF971"/>
    <w:rsid w:val="767F27D6"/>
    <w:rsid w:val="769A4D54"/>
    <w:rsid w:val="76F43E69"/>
    <w:rsid w:val="772E1279"/>
    <w:rsid w:val="776FEFA2"/>
    <w:rsid w:val="77724BD0"/>
    <w:rsid w:val="77C76E7A"/>
    <w:rsid w:val="77CB6198"/>
    <w:rsid w:val="77EECA84"/>
    <w:rsid w:val="77FEB22D"/>
    <w:rsid w:val="77FF83E6"/>
    <w:rsid w:val="77FF9A68"/>
    <w:rsid w:val="78F6786A"/>
    <w:rsid w:val="79E13B9D"/>
    <w:rsid w:val="7A6E44C1"/>
    <w:rsid w:val="7AA037BE"/>
    <w:rsid w:val="7AA3A95B"/>
    <w:rsid w:val="7AA9E0DC"/>
    <w:rsid w:val="7AAF761C"/>
    <w:rsid w:val="7AD659AC"/>
    <w:rsid w:val="7B751B3D"/>
    <w:rsid w:val="7BBFD7F8"/>
    <w:rsid w:val="7BDBD706"/>
    <w:rsid w:val="7BF5E087"/>
    <w:rsid w:val="7BFBF581"/>
    <w:rsid w:val="7D29152A"/>
    <w:rsid w:val="7D3F6ADA"/>
    <w:rsid w:val="7DB7BF42"/>
    <w:rsid w:val="7DB7F0FF"/>
    <w:rsid w:val="7DBB01E5"/>
    <w:rsid w:val="7DBBD3E5"/>
    <w:rsid w:val="7DBF0AA3"/>
    <w:rsid w:val="7DC477E3"/>
    <w:rsid w:val="7E162FF3"/>
    <w:rsid w:val="7E4653AF"/>
    <w:rsid w:val="7E6FD489"/>
    <w:rsid w:val="7E7F0942"/>
    <w:rsid w:val="7E9D75CF"/>
    <w:rsid w:val="7EB31986"/>
    <w:rsid w:val="7EBF876E"/>
    <w:rsid w:val="7ECCADB2"/>
    <w:rsid w:val="7EEEEF79"/>
    <w:rsid w:val="7EF2BD45"/>
    <w:rsid w:val="7EF62DE7"/>
    <w:rsid w:val="7EFECE0E"/>
    <w:rsid w:val="7F6FC3DB"/>
    <w:rsid w:val="7F7D579B"/>
    <w:rsid w:val="7F7D7656"/>
    <w:rsid w:val="7F7F7EFC"/>
    <w:rsid w:val="7F7FA8BA"/>
    <w:rsid w:val="7F8C01CB"/>
    <w:rsid w:val="7F992501"/>
    <w:rsid w:val="7FA2C79D"/>
    <w:rsid w:val="7FDE9AA9"/>
    <w:rsid w:val="7FE3032F"/>
    <w:rsid w:val="7FEC6F91"/>
    <w:rsid w:val="7FF2AC46"/>
    <w:rsid w:val="7FFB8F88"/>
    <w:rsid w:val="7FFE4899"/>
    <w:rsid w:val="7FFFB156"/>
    <w:rsid w:val="95FFC9B4"/>
    <w:rsid w:val="965F31E7"/>
    <w:rsid w:val="9BAE45FC"/>
    <w:rsid w:val="9EF63205"/>
    <w:rsid w:val="A3DE6C07"/>
    <w:rsid w:val="A4C774A2"/>
    <w:rsid w:val="AAD38468"/>
    <w:rsid w:val="ABEE53F4"/>
    <w:rsid w:val="ADAD5F37"/>
    <w:rsid w:val="AFC6D7E0"/>
    <w:rsid w:val="B57E36BC"/>
    <w:rsid w:val="B65A7AAE"/>
    <w:rsid w:val="BA4D5325"/>
    <w:rsid w:val="BB6C1E6C"/>
    <w:rsid w:val="BBCB115D"/>
    <w:rsid w:val="BCF5EDDE"/>
    <w:rsid w:val="BE7E8A05"/>
    <w:rsid w:val="BEBFB4D1"/>
    <w:rsid w:val="BF3F4E4A"/>
    <w:rsid w:val="BF7BF287"/>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EF8F64"/>
    <w:rsid w:val="DBF91EB3"/>
    <w:rsid w:val="DD37A4AF"/>
    <w:rsid w:val="DDCBD4DB"/>
    <w:rsid w:val="DDEC5EFC"/>
    <w:rsid w:val="DDFF1BDE"/>
    <w:rsid w:val="DEFC8A9A"/>
    <w:rsid w:val="DFED06EF"/>
    <w:rsid w:val="DFFE5AD9"/>
    <w:rsid w:val="E4BF6A47"/>
    <w:rsid w:val="E83D41F3"/>
    <w:rsid w:val="EAEABC4D"/>
    <w:rsid w:val="EBF78488"/>
    <w:rsid w:val="ED5FB71C"/>
    <w:rsid w:val="ED97BBB2"/>
    <w:rsid w:val="EFB334B9"/>
    <w:rsid w:val="F2FF8C5C"/>
    <w:rsid w:val="F3775739"/>
    <w:rsid w:val="F63F3C85"/>
    <w:rsid w:val="F6657418"/>
    <w:rsid w:val="F6B552BA"/>
    <w:rsid w:val="F6DFE918"/>
    <w:rsid w:val="F6FC273B"/>
    <w:rsid w:val="F79D2B10"/>
    <w:rsid w:val="F7EE441C"/>
    <w:rsid w:val="F7EE4F89"/>
    <w:rsid w:val="F99B62A6"/>
    <w:rsid w:val="F9B7C2FB"/>
    <w:rsid w:val="F9BFB2A1"/>
    <w:rsid w:val="F9DF1F50"/>
    <w:rsid w:val="FADD67B2"/>
    <w:rsid w:val="FB4E9BD6"/>
    <w:rsid w:val="FBBBFC1E"/>
    <w:rsid w:val="FBEEB745"/>
    <w:rsid w:val="FBEFE8AE"/>
    <w:rsid w:val="FBF7563B"/>
    <w:rsid w:val="FBFAD513"/>
    <w:rsid w:val="FBFCBB6D"/>
    <w:rsid w:val="FBFFA049"/>
    <w:rsid w:val="FC71C2BC"/>
    <w:rsid w:val="FC75C9F9"/>
    <w:rsid w:val="FCCECD9C"/>
    <w:rsid w:val="FCD82315"/>
    <w:rsid w:val="FCF704CC"/>
    <w:rsid w:val="FCFB4383"/>
    <w:rsid w:val="FDE71F62"/>
    <w:rsid w:val="FDF98589"/>
    <w:rsid w:val="FDFF4BA5"/>
    <w:rsid w:val="FDFFA44C"/>
    <w:rsid w:val="FECD7B5E"/>
    <w:rsid w:val="FEDD55B8"/>
    <w:rsid w:val="FEEF1BF5"/>
    <w:rsid w:val="FEFE0680"/>
    <w:rsid w:val="FEFE7999"/>
    <w:rsid w:val="FF5B77EF"/>
    <w:rsid w:val="FF65430A"/>
    <w:rsid w:val="FF773F42"/>
    <w:rsid w:val="FF9F3F6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4">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2"/>
    <w:qFormat/>
    <w:uiPriority w:val="0"/>
    <w:pPr>
      <w:spacing w:after="120"/>
      <w:jc w:val="both"/>
    </w:pPr>
    <w:rPr>
      <w:rFonts w:ascii="Arial" w:hAnsi="Arial"/>
    </w:rPr>
  </w:style>
  <w:style w:type="paragraph" w:styleId="12">
    <w:name w:val="caption"/>
    <w:basedOn w:val="1"/>
    <w:next w:val="1"/>
    <w:link w:val="6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link w:val="49"/>
    <w:unhideWhenUsed/>
    <w:qFormat/>
    <w:uiPriority w:val="99"/>
    <w:pPr>
      <w:spacing w:line="240" w:lineRule="auto"/>
    </w:pPr>
    <w:rPr>
      <w:sz w:val="20"/>
      <w:szCs w:val="20"/>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8"/>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2"/>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8"/>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3"/>
    <w:next w:val="13"/>
    <w:link w:val="50"/>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qFormat/>
    <w:uiPriority w:val="0"/>
  </w:style>
  <w:style w:type="character" w:styleId="27">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8">
    <w:name w:val="Emphasis"/>
    <w:basedOn w:val="24"/>
    <w:qFormat/>
    <w:uiPriority w:val="20"/>
    <w:rPr>
      <w:i/>
    </w:rPr>
  </w:style>
  <w:style w:type="character" w:styleId="29">
    <w:name w:val="Hyperlink"/>
    <w:qFormat/>
    <w:uiPriority w:val="99"/>
    <w:rPr>
      <w:color w:val="0000FF"/>
      <w:u w:val="single"/>
    </w:rPr>
  </w:style>
  <w:style w:type="character" w:styleId="30">
    <w:name w:val="annotation reference"/>
    <w:basedOn w:val="24"/>
    <w:semiHidden/>
    <w:unhideWhenUsed/>
    <w:qFormat/>
    <w:uiPriority w:val="99"/>
    <w:rPr>
      <w:sz w:val="16"/>
      <w:szCs w:val="16"/>
    </w:rPr>
  </w:style>
  <w:style w:type="character" w:customStyle="1" w:styleId="31">
    <w:name w:val="Heading 1 Char"/>
    <w:basedOn w:val="24"/>
    <w:link w:val="3"/>
    <w:qFormat/>
    <w:uiPriority w:val="0"/>
    <w:rPr>
      <w:rFonts w:ascii="Arial" w:hAnsi="Arial" w:eastAsia="Times New Roman" w:cs="Times New Roman"/>
      <w:sz w:val="36"/>
      <w:szCs w:val="20"/>
      <w:lang w:val="en-GB" w:eastAsia="ja-JP"/>
    </w:rPr>
  </w:style>
  <w:style w:type="character" w:customStyle="1" w:styleId="32">
    <w:name w:val="Heading 2 Char"/>
    <w:basedOn w:val="24"/>
    <w:link w:val="4"/>
    <w:qFormat/>
    <w:uiPriority w:val="9"/>
    <w:rPr>
      <w:rFonts w:asciiTheme="majorHAnsi" w:hAnsiTheme="majorHAnsi" w:eastAsiaTheme="majorEastAsia" w:cstheme="majorBidi"/>
      <w:color w:val="2F5597" w:themeColor="accent1" w:themeShade="BF"/>
      <w:sz w:val="26"/>
      <w:szCs w:val="26"/>
    </w:rPr>
  </w:style>
  <w:style w:type="character" w:customStyle="1" w:styleId="33">
    <w:name w:val="Heading 3 Char"/>
    <w:basedOn w:val="24"/>
    <w:link w:val="5"/>
    <w:qFormat/>
    <w:uiPriority w:val="9"/>
    <w:rPr>
      <w:rFonts w:asciiTheme="majorHAnsi" w:hAnsiTheme="majorHAnsi" w:eastAsiaTheme="majorEastAsia" w:cstheme="majorBidi"/>
      <w:color w:val="203864" w:themeColor="accent1" w:themeShade="80"/>
      <w:sz w:val="24"/>
      <w:szCs w:val="24"/>
    </w:rPr>
  </w:style>
  <w:style w:type="character" w:customStyle="1" w:styleId="34">
    <w:name w:val="Heading 4 Char"/>
    <w:basedOn w:val="24"/>
    <w:link w:val="6"/>
    <w:semiHidden/>
    <w:qFormat/>
    <w:uiPriority w:val="9"/>
    <w:rPr>
      <w:rFonts w:asciiTheme="majorHAnsi" w:hAnsiTheme="majorHAnsi" w:eastAsiaTheme="majorEastAsia" w:cstheme="majorBidi"/>
      <w:i/>
      <w:iCs/>
      <w:color w:val="2F5597" w:themeColor="accent1" w:themeShade="BF"/>
    </w:rPr>
  </w:style>
  <w:style w:type="character" w:customStyle="1" w:styleId="35">
    <w:name w:val="Heading 5 Char"/>
    <w:basedOn w:val="24"/>
    <w:link w:val="7"/>
    <w:semiHidden/>
    <w:qFormat/>
    <w:uiPriority w:val="9"/>
    <w:rPr>
      <w:rFonts w:asciiTheme="majorHAnsi" w:hAnsiTheme="majorHAnsi" w:eastAsiaTheme="majorEastAsia" w:cstheme="majorBidi"/>
      <w:color w:val="2F5597" w:themeColor="accent1" w:themeShade="BF"/>
    </w:rPr>
  </w:style>
  <w:style w:type="character" w:customStyle="1" w:styleId="36">
    <w:name w:val="Heading 6 Char"/>
    <w:basedOn w:val="24"/>
    <w:link w:val="8"/>
    <w:semiHidden/>
    <w:qFormat/>
    <w:uiPriority w:val="9"/>
    <w:rPr>
      <w:rFonts w:asciiTheme="majorHAnsi" w:hAnsiTheme="majorHAnsi" w:eastAsiaTheme="majorEastAsia" w:cstheme="majorBidi"/>
      <w:color w:val="203864" w:themeColor="accent1" w:themeShade="80"/>
    </w:rPr>
  </w:style>
  <w:style w:type="character" w:customStyle="1" w:styleId="37">
    <w:name w:val="Heading 7 Char"/>
    <w:basedOn w:val="24"/>
    <w:link w:val="9"/>
    <w:semiHidden/>
    <w:qFormat/>
    <w:uiPriority w:val="9"/>
    <w:rPr>
      <w:rFonts w:asciiTheme="majorHAnsi" w:hAnsiTheme="majorHAnsi" w:eastAsiaTheme="majorEastAsia" w:cstheme="majorBidi"/>
      <w:i/>
      <w:iCs/>
      <w:color w:val="203864" w:themeColor="accent1" w:themeShade="80"/>
    </w:rPr>
  </w:style>
  <w:style w:type="character" w:customStyle="1" w:styleId="38">
    <w:name w:val="Heading 8 Char"/>
    <w:basedOn w:val="24"/>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Heading 9 Char"/>
    <w:basedOn w:val="24"/>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2"/>
    <w:qFormat/>
    <w:uiPriority w:val="0"/>
    <w:pPr>
      <w:tabs>
        <w:tab w:val="left" w:pos="1701"/>
        <w:tab w:val="right" w:pos="9639"/>
      </w:tabs>
      <w:spacing w:after="240"/>
    </w:pPr>
    <w:rPr>
      <w:b/>
      <w:sz w:val="24"/>
    </w:rPr>
  </w:style>
  <w:style w:type="character" w:customStyle="1" w:styleId="41">
    <w:name w:val="Footer Char"/>
    <w:basedOn w:val="24"/>
    <w:link w:val="16"/>
    <w:qFormat/>
    <w:uiPriority w:val="0"/>
    <w:rPr>
      <w:rFonts w:ascii="Arial" w:hAnsi="Arial" w:eastAsia="Times New Roman" w:cs="Times New Roman"/>
      <w:b/>
      <w:i/>
      <w:sz w:val="18"/>
      <w:szCs w:val="20"/>
      <w:lang w:val="en-GB" w:eastAsia="ja-JP"/>
    </w:rPr>
  </w:style>
  <w:style w:type="character" w:customStyle="1" w:styleId="42">
    <w:name w:val="Body Text Char"/>
    <w:basedOn w:val="24"/>
    <w:link w:val="2"/>
    <w:qFormat/>
    <w:uiPriority w:val="0"/>
    <w:rPr>
      <w:rFonts w:ascii="Arial" w:hAnsi="Arial"/>
    </w:rPr>
  </w:style>
  <w:style w:type="paragraph" w:customStyle="1" w:styleId="43">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Header Char"/>
    <w:basedOn w:val="24"/>
    <w:link w:val="17"/>
    <w:qFormat/>
    <w:uiPriority w:val="99"/>
  </w:style>
  <w:style w:type="character" w:customStyle="1" w:styleId="46">
    <w:name w:val="Unresolved Mention"/>
    <w:basedOn w:val="24"/>
    <w:unhideWhenUsed/>
    <w:qFormat/>
    <w:uiPriority w:val="99"/>
    <w:rPr>
      <w:color w:val="605E5C"/>
      <w:shd w:val="clear" w:color="auto" w:fill="E1DFDD"/>
    </w:rPr>
  </w:style>
  <w:style w:type="paragraph" w:styleId="47">
    <w:name w:val="List Paragraph"/>
    <w:basedOn w:val="1"/>
    <w:link w:val="62"/>
    <w:qFormat/>
    <w:uiPriority w:val="34"/>
    <w:pPr>
      <w:ind w:left="720"/>
      <w:contextualSpacing/>
    </w:pPr>
  </w:style>
  <w:style w:type="character" w:customStyle="1" w:styleId="48">
    <w:name w:val="Balloon Text Char"/>
    <w:basedOn w:val="24"/>
    <w:link w:val="15"/>
    <w:semiHidden/>
    <w:qFormat/>
    <w:uiPriority w:val="99"/>
    <w:rPr>
      <w:rFonts w:ascii="Segoe UI" w:hAnsi="Segoe UI" w:cs="Segoe UI"/>
      <w:sz w:val="18"/>
      <w:szCs w:val="18"/>
    </w:rPr>
  </w:style>
  <w:style w:type="character" w:customStyle="1" w:styleId="49">
    <w:name w:val="Comment Text Char"/>
    <w:basedOn w:val="24"/>
    <w:link w:val="13"/>
    <w:qFormat/>
    <w:uiPriority w:val="99"/>
    <w:rPr>
      <w:sz w:val="20"/>
      <w:szCs w:val="20"/>
    </w:rPr>
  </w:style>
  <w:style w:type="character" w:customStyle="1" w:styleId="50">
    <w:name w:val="Comment Subject Char"/>
    <w:basedOn w:val="49"/>
    <w:link w:val="21"/>
    <w:semiHidden/>
    <w:qFormat/>
    <w:uiPriority w:val="99"/>
    <w:rPr>
      <w:b/>
      <w:bCs/>
      <w:sz w:val="20"/>
      <w:szCs w:val="20"/>
    </w:rPr>
  </w:style>
  <w:style w:type="paragraph" w:customStyle="1" w:styleId="51">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2">
    <w:name w:val="B1"/>
    <w:basedOn w:val="1"/>
    <w:link w:val="53"/>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3">
    <w:name w:val="B1 Char1"/>
    <w:link w:val="52"/>
    <w:qFormat/>
    <w:uiPriority w:val="0"/>
    <w:rPr>
      <w:rFonts w:ascii="Times New Roman" w:hAnsi="Times New Roman" w:eastAsia="宋体" w:cs="Times New Roman"/>
      <w:sz w:val="20"/>
      <w:szCs w:val="20"/>
      <w:lang w:val="en-GB"/>
    </w:rPr>
  </w:style>
  <w:style w:type="table" w:customStyle="1" w:styleId="54">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5">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6">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7">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8">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9">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0">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1">
    <w:name w:val="Caption Char"/>
    <w:link w:val="12"/>
    <w:qFormat/>
    <w:uiPriority w:val="35"/>
    <w:rPr>
      <w:i/>
      <w:iCs/>
      <w:color w:val="44546A" w:themeColor="text2"/>
      <w:sz w:val="18"/>
      <w:szCs w:val="18"/>
      <w14:textFill>
        <w14:solidFill>
          <w14:schemeClr w14:val="tx2"/>
        </w14:solidFill>
      </w14:textFill>
    </w:rPr>
  </w:style>
  <w:style w:type="character" w:customStyle="1" w:styleId="62">
    <w:name w:val="List Paragraph Char"/>
    <w:link w:val="47"/>
    <w:qFormat/>
    <w:locked/>
    <w:uiPriority w:val="34"/>
  </w:style>
  <w:style w:type="paragraph" w:customStyle="1" w:styleId="63">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4">
    <w:name w:val="apple-converted-space"/>
    <w:basedOn w:val="24"/>
    <w:qFormat/>
    <w:uiPriority w:val="0"/>
  </w:style>
  <w:style w:type="character" w:customStyle="1" w:styleId="65">
    <w:name w:val="Mention"/>
    <w:basedOn w:val="24"/>
    <w:unhideWhenUsed/>
    <w:qFormat/>
    <w:uiPriority w:val="99"/>
    <w:rPr>
      <w:color w:val="2B579A"/>
      <w:shd w:val="clear" w:color="auto" w:fill="E1DFDD"/>
    </w:rPr>
  </w:style>
  <w:style w:type="paragraph" w:customStyle="1" w:styleId="66">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67">
    <w:name w:val="Doc-text2"/>
    <w:basedOn w:val="1"/>
    <w:qFormat/>
    <w:uiPriority w:val="0"/>
    <w:pPr>
      <w:tabs>
        <w:tab w:val="left" w:pos="1622"/>
      </w:tabs>
      <w:spacing w:before="0"/>
      <w:ind w:left="1622" w:hanging="363"/>
    </w:pPr>
  </w:style>
  <w:style w:type="character" w:customStyle="1" w:styleId="68">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9">
    <w:name w:val="IvD bodytext"/>
    <w:basedOn w:val="2"/>
    <w:link w:val="70"/>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70">
    <w:name w:val="IvD bodytext Char"/>
    <w:basedOn w:val="24"/>
    <w:link w:val="69"/>
    <w:qFormat/>
    <w:uiPriority w:val="0"/>
    <w:rPr>
      <w:rFonts w:ascii="Arial" w:hAnsi="Arial" w:cs="Times New Roman"/>
      <w:spacing w:val="2"/>
      <w:sz w:val="20"/>
      <w:szCs w:val="20"/>
    </w:rPr>
  </w:style>
  <w:style w:type="paragraph" w:customStyle="1" w:styleId="71">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2">
    <w:name w:val="CR Cover Page"/>
    <w:qFormat/>
    <w:uiPriority w:val="0"/>
    <w:pPr>
      <w:spacing w:after="120"/>
    </w:pPr>
    <w:rPr>
      <w:rFonts w:ascii="Arial" w:hAnsi="Arial" w:eastAsia="Batang" w:cs="Times New Roman"/>
      <w:lang w:val="en-GB" w:eastAsia="en-US" w:bidi="ar-SA"/>
    </w:rPr>
  </w:style>
  <w:style w:type="character" w:customStyle="1" w:styleId="73">
    <w:name w:val="Default Paragraph Font 2"/>
    <w:semiHidden/>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2</TotalTime>
  <ScaleCrop>false</ScaleCrop>
  <LinksUpToDate>false</LinksUpToDate>
  <CharactersWithSpaces>19717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2022-05-12T14:46:00Z</dcterms:created>
  <dc:creator>ZTE(Zhihong)</dc:creator>
  <cp:lastModifiedBy>ZTE</cp:lastModifiedBy>
  <dcterms:modified xsi:type="dcterms:W3CDTF">2024-02-19T13:44:00Z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19335F624BC749F98F74B538010AFB12</vt:lpwstr>
  </property>
</Properties>
</file>